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25" w:rsidRPr="00A40EA4" w:rsidRDefault="00CC0C25" w:rsidP="00CC0C25">
      <w:pPr>
        <w:spacing w:before="6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</w:t>
      </w:r>
      <w:r>
        <w:rPr>
          <w:rFonts w:ascii="Arial" w:hAnsi="Arial" w:cs="Arial"/>
          <w:b/>
          <w:sz w:val="24"/>
          <w:szCs w:val="24"/>
        </w:rPr>
        <w:t>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3076"/>
      </w:tblGrid>
      <w:tr w:rsidR="00CC0C25" w:rsidRPr="00E1057D" w:rsidTr="00CC43B0"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1057D">
              <w:rPr>
                <w:b/>
                <w:sz w:val="22"/>
                <w:szCs w:val="22"/>
              </w:rPr>
              <w:t xml:space="preserve">Név: </w:t>
            </w:r>
            <w:r>
              <w:rPr>
                <w:b/>
                <w:sz w:val="22"/>
                <w:szCs w:val="22"/>
              </w:rPr>
              <w:t>Molnár Anita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év: 1997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E1057D">
              <w:rPr>
                <w:b/>
                <w:i/>
                <w:sz w:val="22"/>
                <w:szCs w:val="22"/>
              </w:rPr>
              <w:t>Végzettség és szakképzettség</w:t>
            </w:r>
            <w:r w:rsidRPr="00E1057D">
              <w:rPr>
                <w:sz w:val="22"/>
                <w:szCs w:val="22"/>
              </w:rPr>
              <w:t xml:space="preserve">, az oklevél kiállítója, éve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Default="00CC0C25" w:rsidP="00CC43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Középiskolai testnevelő tanár (MA), Nyíregyházi Egyetem, 2021</w:t>
            </w:r>
          </w:p>
          <w:p w:rsidR="00CC0C25" w:rsidRPr="00E1057D" w:rsidRDefault="00CC0C25" w:rsidP="00CC43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Testnevelő tanár – történelemtanár és állampolg</w:t>
            </w:r>
            <w:r>
              <w:rPr>
                <w:sz w:val="22"/>
                <w:szCs w:val="22"/>
              </w:rPr>
              <w:t>ári ismeretek tanára,</w:t>
            </w:r>
            <w:r>
              <w:rPr>
                <w:sz w:val="22"/>
                <w:szCs w:val="22"/>
              </w:rPr>
              <w:t xml:space="preserve"> Nyíregyházi Egyetem, 2020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 xml:space="preserve">Jelenlegi </w:t>
            </w:r>
            <w:r w:rsidRPr="00E1057D">
              <w:rPr>
                <w:b/>
                <w:i/>
                <w:sz w:val="22"/>
                <w:szCs w:val="22"/>
              </w:rPr>
              <w:t>munkahely(ek),</w:t>
            </w:r>
            <w:r w:rsidRPr="00E1057D">
              <w:rPr>
                <w:sz w:val="22"/>
                <w:szCs w:val="22"/>
              </w:rPr>
              <w:t xml:space="preserve"> a kinevezésben feltüntetett munkakör(ök), több munkahely esetén </w:t>
            </w:r>
            <w:r w:rsidRPr="00E1057D">
              <w:rPr>
                <w:sz w:val="22"/>
                <w:szCs w:val="22"/>
                <w:u w:val="single"/>
              </w:rPr>
              <w:t xml:space="preserve">aláhúzás </w:t>
            </w:r>
            <w:r w:rsidRPr="00E1057D">
              <w:rPr>
                <w:sz w:val="22"/>
                <w:szCs w:val="22"/>
              </w:rPr>
              <w:t>jelölje azt az</w:t>
            </w:r>
            <w:r w:rsidRPr="00E1057D">
              <w:rPr>
                <w:i/>
                <w:sz w:val="22"/>
                <w:szCs w:val="22"/>
              </w:rPr>
              <w:t xml:space="preserve"> </w:t>
            </w:r>
            <w:r w:rsidRPr="00E1057D">
              <w:rPr>
                <w:sz w:val="22"/>
                <w:szCs w:val="22"/>
              </w:rPr>
              <w:t>intézményt, amelynek „kizárólagossági” nyilatkozatot (</w:t>
            </w:r>
            <w:r w:rsidRPr="00E1057D">
              <w:rPr>
                <w:i/>
                <w:sz w:val="22"/>
                <w:szCs w:val="22"/>
                <w:u w:val="single"/>
              </w:rPr>
              <w:t>A</w:t>
            </w:r>
            <w:r w:rsidRPr="00E1057D">
              <w:rPr>
                <w:sz w:val="22"/>
                <w:szCs w:val="22"/>
              </w:rPr>
              <w:t>) adott!</w:t>
            </w:r>
            <w:r w:rsidRPr="00E105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Pr="00FF6296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Testnevelés és Sporttudományi Intézet – főiskolai tanársegéd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1057D">
              <w:rPr>
                <w:b/>
                <w:i/>
                <w:sz w:val="22"/>
                <w:szCs w:val="22"/>
              </w:rPr>
              <w:t>Tudományos fokozat</w:t>
            </w:r>
            <w:r w:rsidRPr="00E1057D">
              <w:rPr>
                <w:sz w:val="22"/>
                <w:szCs w:val="22"/>
              </w:rPr>
              <w:t xml:space="preserve"> </w:t>
            </w:r>
            <w:r w:rsidRPr="00E1057D">
              <w:rPr>
                <w:b/>
                <w:sz w:val="22"/>
                <w:szCs w:val="22"/>
              </w:rPr>
              <w:t xml:space="preserve"> </w:t>
            </w:r>
          </w:p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 w:rsidRPr="00E1057D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E1057D">
              <w:rPr>
                <w:sz w:val="22"/>
                <w:szCs w:val="22"/>
              </w:rPr>
              <w:t>:</w:t>
            </w:r>
            <w:r w:rsidRPr="00E1057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hallgató – Eszterházy Károly </w:t>
            </w:r>
            <w:r>
              <w:rPr>
                <w:sz w:val="22"/>
                <w:szCs w:val="22"/>
              </w:rPr>
              <w:t xml:space="preserve">Katolikus </w:t>
            </w:r>
            <w:r>
              <w:rPr>
                <w:sz w:val="22"/>
                <w:szCs w:val="22"/>
              </w:rPr>
              <w:t>Egyetem, Neveléstudományi Doktori Iskola</w:t>
            </w:r>
            <w:r>
              <w:rPr>
                <w:sz w:val="22"/>
                <w:szCs w:val="22"/>
              </w:rPr>
              <w:t>, Sportpedagógia Doktori Program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>Az</w:t>
            </w:r>
            <w:r w:rsidRPr="00E1057D">
              <w:rPr>
                <w:sz w:val="22"/>
                <w:szCs w:val="22"/>
                <w:u w:val="single"/>
              </w:rPr>
              <w:t xml:space="preserve"> </w:t>
            </w:r>
            <w:r w:rsidRPr="00E1057D">
              <w:rPr>
                <w:b/>
                <w:i/>
                <w:sz w:val="22"/>
                <w:szCs w:val="22"/>
              </w:rPr>
              <w:t>eddigi oktatói tevékenység</w:t>
            </w:r>
            <w:r w:rsidRPr="00E1057D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Oktatott tárgyak: Testkultúra elmélete és sporttörténet (EU és sport)</w:t>
            </w:r>
            <w:r w:rsidR="00EE1EE6">
              <w:rPr>
                <w:sz w:val="22"/>
                <w:szCs w:val="22"/>
              </w:rPr>
              <w:t xml:space="preserve"> testnevelő tanár, sportszervező és edző szakon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Testnevelés elmélet és módszertan</w:t>
            </w:r>
            <w:r w:rsidR="00EE1EE6">
              <w:rPr>
                <w:sz w:val="22"/>
                <w:szCs w:val="22"/>
              </w:rPr>
              <w:t xml:space="preserve"> edző szakon</w:t>
            </w:r>
            <w:r>
              <w:rPr>
                <w:sz w:val="22"/>
                <w:szCs w:val="22"/>
              </w:rPr>
              <w:t>, Sportjátékok I. Röplabda II.</w:t>
            </w:r>
            <w:r w:rsidR="00EE1EE6">
              <w:rPr>
                <w:sz w:val="22"/>
                <w:szCs w:val="22"/>
              </w:rPr>
              <w:t xml:space="preserve"> testnevelő tanár szakon</w:t>
            </w:r>
            <w:r>
              <w:rPr>
                <w:sz w:val="22"/>
                <w:szCs w:val="22"/>
              </w:rPr>
              <w:t>, Csapatsportjátékok (röplabda)</w:t>
            </w:r>
            <w:r w:rsidR="00EE1EE6">
              <w:rPr>
                <w:sz w:val="22"/>
                <w:szCs w:val="22"/>
              </w:rPr>
              <w:t xml:space="preserve"> sportszervező és edző szakon</w:t>
            </w:r>
            <w:r>
              <w:rPr>
                <w:sz w:val="22"/>
                <w:szCs w:val="22"/>
              </w:rPr>
              <w:t>, Sportjátékok elmélete és szakmódszertana IV. (Röplabda)</w:t>
            </w:r>
            <w:r w:rsidR="00EE1EE6">
              <w:rPr>
                <w:sz w:val="22"/>
                <w:szCs w:val="22"/>
              </w:rPr>
              <w:t xml:space="preserve"> középiskolai testnevelő tanári mesterszakon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Sportszakmai gyakorlat (röplabda)</w:t>
            </w:r>
            <w:r w:rsidR="00EE1EE6">
              <w:rPr>
                <w:sz w:val="22"/>
                <w:szCs w:val="22"/>
              </w:rPr>
              <w:t xml:space="preserve"> testnevelő tanár szakon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Torna és gimnasztika alapjai</w:t>
            </w:r>
            <w:r w:rsidR="00EE1EE6">
              <w:rPr>
                <w:sz w:val="22"/>
                <w:szCs w:val="22"/>
              </w:rPr>
              <w:t xml:space="preserve"> edző szakon</w:t>
            </w:r>
            <w:r>
              <w:rPr>
                <w:sz w:val="22"/>
                <w:szCs w:val="22"/>
              </w:rPr>
              <w:t>, Testnevelés és tantárgy pedagógiája I. (gimnasztika, torna)</w:t>
            </w:r>
            <w:r w:rsidR="00EE1EE6">
              <w:rPr>
                <w:sz w:val="22"/>
                <w:szCs w:val="22"/>
              </w:rPr>
              <w:t xml:space="preserve"> tanító szakon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Általános testnevelés (röplabda, úszás)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 xml:space="preserve">Az </w:t>
            </w:r>
            <w:r w:rsidRPr="00E1057D">
              <w:rPr>
                <w:b/>
                <w:i/>
                <w:sz w:val="22"/>
                <w:szCs w:val="22"/>
              </w:rPr>
              <w:t xml:space="preserve">eddigi szakmai </w:t>
            </w:r>
            <w:r w:rsidRPr="00E1057D">
              <w:rPr>
                <w:i/>
                <w:sz w:val="22"/>
                <w:szCs w:val="22"/>
              </w:rPr>
              <w:t>(tudományos, kutatás-fejlesztési, alkotói, művészeti)</w:t>
            </w:r>
            <w:r w:rsidRPr="00E1057D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E1057D">
              <w:rPr>
                <w:sz w:val="22"/>
                <w:szCs w:val="22"/>
              </w:rPr>
              <w:t xml:space="preserve"> 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Szakmai tapasztalat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2020-tól Nyíregyházi Egyetem – tanársegéd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2020-tól Eszterházy Károly Egyetem – PhD hallgató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2018 – 2019 Röplabda másodedző</w:t>
            </w:r>
          </w:p>
          <w:p w:rsidR="00CC0C25" w:rsidRPr="00842440" w:rsidRDefault="00CC0C25" w:rsidP="00CC0C25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2015-től Röplabda játékvezető</w:t>
            </w: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végzettségek</w:t>
            </w:r>
          </w:p>
          <w:p w:rsidR="00EE1EE6" w:rsidRDefault="00EE1EE6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2021: Sportedző (úszás)</w:t>
            </w:r>
          </w:p>
          <w:p w:rsidR="00CC0C25" w:rsidRDefault="00CC0C25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2020: </w:t>
            </w:r>
            <w:r w:rsidR="00EE1EE6">
              <w:rPr>
                <w:sz w:val="22"/>
                <w:szCs w:val="22"/>
              </w:rPr>
              <w:t>Sportedző (röplabda)</w:t>
            </w:r>
          </w:p>
          <w:p w:rsidR="00CC0C25" w:rsidRDefault="00DC4508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2015: Röplabda játékvezetői</w:t>
            </w:r>
            <w:r w:rsidR="00CC0C25">
              <w:rPr>
                <w:sz w:val="22"/>
                <w:szCs w:val="22"/>
              </w:rPr>
              <w:t xml:space="preserve"> tanfolyam</w:t>
            </w:r>
          </w:p>
          <w:p w:rsidR="00CC0C25" w:rsidRDefault="00CC0C25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Német középfokú (B2) írásbeli nyelvvizsga</w:t>
            </w:r>
          </w:p>
          <w:p w:rsidR="00CC0C25" w:rsidRDefault="00CC0C25" w:rsidP="00CC0C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2014: Német középfokú (B2) szóbeli nyelvvizsga</w:t>
            </w:r>
          </w:p>
          <w:p w:rsidR="00CC0C25" w:rsidRPr="00DE5260" w:rsidRDefault="00CC0C25" w:rsidP="00CC43B0">
            <w:pPr>
              <w:jc w:val="both"/>
              <w:rPr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Tanulmányi munka</w:t>
            </w:r>
          </w:p>
          <w:p w:rsidR="00CC0C25" w:rsidRDefault="00CC0C25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2019: Tudományos Diákköri Verseny: I. helyezés, Nyíregyháza</w:t>
            </w:r>
          </w:p>
          <w:p w:rsidR="00CC0C25" w:rsidRDefault="00CC0C25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2021: XXXV. Országos Tudományos Diákköri Konferencia, Szeged</w:t>
            </w:r>
          </w:p>
          <w:p w:rsidR="00CC0C25" w:rsidRDefault="00CC0C25" w:rsidP="00CC43B0">
            <w:pPr>
              <w:jc w:val="both"/>
              <w:rPr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 tapasztalat</w:t>
            </w:r>
          </w:p>
          <w:p w:rsidR="00CC0C25" w:rsidRDefault="00EE1EE6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Röplabda </w:t>
            </w:r>
            <w:r w:rsidR="00CC0C25">
              <w:rPr>
                <w:sz w:val="22"/>
                <w:szCs w:val="22"/>
              </w:rPr>
              <w:t xml:space="preserve">NB II-es játékos múlt </w:t>
            </w:r>
            <w:r>
              <w:rPr>
                <w:sz w:val="22"/>
                <w:szCs w:val="22"/>
              </w:rPr>
              <w:t>(Eötvös DSE)</w:t>
            </w:r>
          </w:p>
          <w:p w:rsidR="00CC0C25" w:rsidRDefault="00EE1EE6" w:rsidP="00CC0C2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Kosárlabda játékos múlt (Nyíregyházi Egyetemi SE)</w:t>
            </w:r>
          </w:p>
          <w:p w:rsidR="00CC0C25" w:rsidRDefault="00CC0C25" w:rsidP="00CC43B0">
            <w:pPr>
              <w:jc w:val="both"/>
              <w:rPr>
                <w:sz w:val="22"/>
                <w:szCs w:val="22"/>
              </w:rPr>
            </w:pPr>
          </w:p>
          <w:p w:rsidR="00DC4508" w:rsidRDefault="00DC4508" w:rsidP="00CC43B0">
            <w:pPr>
              <w:jc w:val="both"/>
              <w:rPr>
                <w:sz w:val="22"/>
                <w:szCs w:val="22"/>
              </w:rPr>
            </w:pPr>
          </w:p>
          <w:p w:rsidR="00DC4508" w:rsidRDefault="00DC4508" w:rsidP="00CC43B0">
            <w:pPr>
              <w:jc w:val="both"/>
              <w:rPr>
                <w:sz w:val="22"/>
                <w:szCs w:val="22"/>
              </w:rPr>
            </w:pPr>
          </w:p>
          <w:p w:rsidR="00CC0C25" w:rsidRDefault="00CC0C25" w:rsidP="00CC4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Továbbképzések</w:t>
            </w:r>
          </w:p>
          <w:p w:rsidR="00CC0C25" w:rsidRPr="00E453A4" w:rsidRDefault="00CC0C25" w:rsidP="00CC0C25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E453A4">
              <w:rPr>
                <w:sz w:val="22"/>
                <w:szCs w:val="22"/>
              </w:rPr>
              <w:t>2021: Pedagógus továbbképzési programok (</w:t>
            </w:r>
            <w:r w:rsidRPr="00DC4508">
              <w:rPr>
                <w:sz w:val="22"/>
                <w:szCs w:val="22"/>
                <w:shd w:val="clear" w:color="auto" w:fill="FFFF99"/>
              </w:rPr>
              <w:t>EFOP-3.1.2-16-2016-00001):</w:t>
            </w:r>
            <w:r w:rsidRPr="00E453A4">
              <w:rPr>
                <w:sz w:val="22"/>
                <w:szCs w:val="22"/>
              </w:rPr>
              <w:t xml:space="preserve"> Tanulástámogatás személyre szabott differenciálással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spacing w:before="60"/>
              <w:jc w:val="both"/>
              <w:rPr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lastRenderedPageBreak/>
              <w:t xml:space="preserve">Az </w:t>
            </w:r>
            <w:r w:rsidRPr="00E1057D">
              <w:rPr>
                <w:b/>
                <w:i/>
                <w:sz w:val="22"/>
                <w:szCs w:val="22"/>
              </w:rPr>
              <w:t>oktatott tárgy/tárgyak</w:t>
            </w:r>
            <w:r w:rsidRPr="00E1057D">
              <w:rPr>
                <w:sz w:val="22"/>
                <w:szCs w:val="22"/>
              </w:rPr>
              <w:t xml:space="preserve"> és az </w:t>
            </w:r>
            <w:r w:rsidRPr="00E1057D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E1057D">
              <w:rPr>
                <w:sz w:val="22"/>
                <w:szCs w:val="22"/>
              </w:rPr>
              <w:t xml:space="preserve"> kapcsolatának bemutatása:</w:t>
            </w:r>
          </w:p>
          <w:p w:rsidR="00CC0C25" w:rsidRPr="00E1057D" w:rsidRDefault="00CC0C25" w:rsidP="00CC43B0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E1057D">
              <w:rPr>
                <w:i/>
                <w:sz w:val="22"/>
                <w:szCs w:val="22"/>
              </w:rPr>
              <w:t xml:space="preserve">a) </w:t>
            </w:r>
            <w:r w:rsidRPr="00E1057D">
              <w:rPr>
                <w:sz w:val="22"/>
                <w:szCs w:val="22"/>
              </w:rPr>
              <w:t xml:space="preserve">az </w:t>
            </w:r>
            <w:r w:rsidRPr="00E1057D">
              <w:rPr>
                <w:i/>
                <w:sz w:val="22"/>
                <w:szCs w:val="22"/>
              </w:rPr>
              <w:t>elmúlt 5 év</w:t>
            </w:r>
            <w:r w:rsidRPr="00E1057D">
              <w:rPr>
                <w:sz w:val="22"/>
                <w:szCs w:val="22"/>
              </w:rPr>
              <w:t xml:space="preserve"> szakmai, tudományos (művészeti) munkássága a </w:t>
            </w:r>
            <w:r w:rsidRPr="00E1057D">
              <w:rPr>
                <w:sz w:val="22"/>
                <w:szCs w:val="22"/>
                <w:u w:val="single"/>
              </w:rPr>
              <w:t>szakterületen</w:t>
            </w:r>
            <w:r w:rsidRPr="00E1057D">
              <w:rPr>
                <w:sz w:val="22"/>
                <w:szCs w:val="22"/>
              </w:rPr>
              <w:t xml:space="preserve"> (a legfontosabb publ</w:t>
            </w:r>
            <w:r w:rsidRPr="00E1057D">
              <w:rPr>
                <w:sz w:val="22"/>
                <w:szCs w:val="22"/>
              </w:rPr>
              <w:t>i</w:t>
            </w:r>
            <w:r w:rsidRPr="00E1057D">
              <w:rPr>
                <w:sz w:val="22"/>
                <w:szCs w:val="22"/>
              </w:rPr>
              <w:t xml:space="preserve">kációk vagy alkotások (max. </w:t>
            </w:r>
            <w:r w:rsidRPr="00E1057D">
              <w:rPr>
                <w:b/>
                <w:sz w:val="22"/>
                <w:szCs w:val="22"/>
              </w:rPr>
              <w:t>5)</w:t>
            </w:r>
            <w:r w:rsidRPr="00E1057D">
              <w:rPr>
                <w:sz w:val="22"/>
                <w:szCs w:val="22"/>
              </w:rPr>
              <w:t xml:space="preserve"> felsorolása)</w:t>
            </w:r>
          </w:p>
          <w:p w:rsidR="00CC0C25" w:rsidRPr="00E1057D" w:rsidRDefault="00CC0C25" w:rsidP="00CC43B0">
            <w:pPr>
              <w:ind w:left="290" w:hanging="290"/>
              <w:jc w:val="both"/>
              <w:rPr>
                <w:sz w:val="22"/>
                <w:szCs w:val="22"/>
              </w:rPr>
            </w:pPr>
            <w:r w:rsidRPr="00E1057D">
              <w:rPr>
                <w:i/>
                <w:sz w:val="22"/>
                <w:szCs w:val="22"/>
              </w:rPr>
              <w:t>b)</w:t>
            </w:r>
            <w:r w:rsidRPr="00E1057D">
              <w:rPr>
                <w:sz w:val="22"/>
                <w:szCs w:val="22"/>
              </w:rPr>
              <w:t xml:space="preserve"> az </w:t>
            </w:r>
            <w:r w:rsidRPr="00E1057D">
              <w:rPr>
                <w:i/>
                <w:sz w:val="22"/>
                <w:szCs w:val="22"/>
              </w:rPr>
              <w:t>eddigi tudományos-szakmai életmű</w:t>
            </w:r>
            <w:r w:rsidRPr="00E1057D">
              <w:rPr>
                <w:sz w:val="22"/>
                <w:szCs w:val="22"/>
              </w:rPr>
              <w:t xml:space="preserve"> szempontjából legfontosabb 5 publikáció vagy alkotás felsor</w:t>
            </w:r>
            <w:r w:rsidRPr="00E1057D">
              <w:rPr>
                <w:sz w:val="22"/>
                <w:szCs w:val="22"/>
              </w:rPr>
              <w:t>o</w:t>
            </w:r>
            <w:r w:rsidRPr="00E1057D">
              <w:rPr>
                <w:sz w:val="22"/>
                <w:szCs w:val="22"/>
              </w:rPr>
              <w:t xml:space="preserve">lása - amennyiben azok az </w:t>
            </w:r>
            <w:r w:rsidRPr="00E1057D">
              <w:rPr>
                <w:i/>
                <w:sz w:val="22"/>
                <w:szCs w:val="22"/>
              </w:rPr>
              <w:t>a)</w:t>
            </w:r>
            <w:r w:rsidRPr="00E1057D">
              <w:rPr>
                <w:sz w:val="22"/>
                <w:szCs w:val="22"/>
              </w:rPr>
              <w:t xml:space="preserve"> pontban megadottaktól különböznek </w:t>
            </w:r>
          </w:p>
          <w:p w:rsidR="00CC0C25" w:rsidRPr="00E1057D" w:rsidRDefault="00CC0C25" w:rsidP="00CC43B0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E1057D">
              <w:rPr>
                <w:sz w:val="22"/>
                <w:szCs w:val="22"/>
              </w:rPr>
              <w:t xml:space="preserve">Mindkét </w:t>
            </w:r>
            <w:r w:rsidRPr="00E1057D">
              <w:rPr>
                <w:sz w:val="22"/>
                <w:szCs w:val="22"/>
                <w:u w:val="single"/>
              </w:rPr>
              <w:t>lista szabályszerű bibliográfiai adatokkal</w:t>
            </w:r>
            <w:r w:rsidRPr="00E1057D">
              <w:rPr>
                <w:sz w:val="22"/>
                <w:szCs w:val="22"/>
              </w:rPr>
              <w:t>: szerző(k), cím, a megjelenés helye/ könyv kiadója, éve, terjedelme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E1EE6" w:rsidRPr="00EE1EE6" w:rsidRDefault="00EE1EE6" w:rsidP="00CC0C25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Molnár Anita, </w:t>
            </w:r>
            <w:r>
              <w:rPr>
                <w:sz w:val="24"/>
                <w:szCs w:val="24"/>
              </w:rPr>
              <w:t>Borbély Szilvia, Oláh Dávid, Vajda Ildikó (2021): Testkultúra és egészségmagatartás vizsgálata a Nyíregyházi Egyetem dolgozói körében = Research of Body Culture and Health Behaviour among the workers of University of Nyíregyháza. In: Kovács Zoltán (szerk.): Kutatások és látásmódok a Nyíregyházi Egyetemen. Nyíregyházi Egyetem, Nyíregyháza.</w:t>
            </w:r>
          </w:p>
          <w:p w:rsidR="00CC0C25" w:rsidRDefault="00CC0C25" w:rsidP="00CC0C25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35042B">
              <w:rPr>
                <w:sz w:val="24"/>
                <w:szCs w:val="24"/>
                <w:u w:val="single"/>
              </w:rPr>
              <w:t>Molnár Anita</w:t>
            </w:r>
            <w:r w:rsidRPr="0035042B">
              <w:rPr>
                <w:sz w:val="24"/>
                <w:szCs w:val="24"/>
              </w:rPr>
              <w:t>, Oláh Dávid, Borbély Szilvia (2020): Sportszakos hallgatók magyar vonatkozású olimpiatörténeti ismereteinek vizsgálata = Examination of the Hungarian-related Olympic history knowledge of sports students. Magyar Sporttudományi Szemle 21 : 86 pp. 47-54., 8 p.</w:t>
            </w:r>
          </w:p>
          <w:p w:rsidR="00CC0C25" w:rsidRDefault="00CC0C25" w:rsidP="00CC43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Konferenciák: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, Vajda Ildikó (2021): Testnevelő tanárok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szerepe az egészségtudatos életmód kialakításában: az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oktatási módszerek jelentősége testnevelő tanár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szakos hallgatók és képzők oldaláról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14. Képzés és Gyakorlat Nemzetközi Neveléstudományi Konferencia,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Kaposvár, 2021. szeptember 2-4.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, Bognár József, Vajda Ildikó (2021): 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testnevelő tanárok mintaadó szerepe és az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egészségmagatartás közvetítése: a bemutatás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módszere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XVIII. Országos Sporttudományi Kongresszus, Pécs, 2021. június 2-4.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, Vajda Ildikó, Bognár József (2021):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Testnevelő tanári példamutatás és az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egészségmagatartás közvetítése a bemutatás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módszerén keresztül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Hungarian Conference on Educational Research (HuCER), 2021. május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27-28.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, Vajda Ildikó (2020): Pedagógusok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egészségmagatartása az egészségnevelés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függvényében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Kreativitás - Elmélet és Gyakorlat: Interdiszciplináris Online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Konferencia, 2020. december 11.</w:t>
            </w:r>
          </w:p>
          <w:p w:rsidR="00CC0C25" w:rsidRPr="000636F1" w:rsidRDefault="00CC0C25" w:rsidP="000636F1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0636F1">
              <w:rPr>
                <w:sz w:val="24"/>
                <w:szCs w:val="24"/>
                <w:u w:val="single"/>
              </w:rPr>
              <w:t>Molnár Anita</w:t>
            </w:r>
            <w:r w:rsidRPr="000636F1">
              <w:rPr>
                <w:sz w:val="24"/>
                <w:szCs w:val="24"/>
              </w:rPr>
              <w:t>: Pedagógusok és pedagógusjelöltek egészségmagatartásának vizsgálata életkor függvényében</w:t>
            </w:r>
            <w:r w:rsidR="000636F1" w:rsidRPr="000636F1">
              <w:rPr>
                <w:sz w:val="24"/>
                <w:szCs w:val="24"/>
              </w:rPr>
              <w:t xml:space="preserve">, </w:t>
            </w:r>
            <w:r w:rsidRPr="000636F1">
              <w:rPr>
                <w:sz w:val="24"/>
                <w:szCs w:val="24"/>
              </w:rPr>
              <w:t>A Magyar Tudomány Ünnepe: EKE Pszichológiai Napok II., Fiatal kutatók és a tudomány 1. szekció, Eger, 2020. november 28.</w:t>
            </w:r>
          </w:p>
          <w:p w:rsidR="00CC0C25" w:rsidRPr="000636F1" w:rsidRDefault="000636F1" w:rsidP="000636F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, Nyisztor Petra, Oláh Dávid (2020):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Magyar vonatkozású olimpiatörténeti ismeretek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vizsgálata két egyetem sportszakos hallgatóinak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tükrében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XVII. Országos Sporttudományi Kongresszus, Győr, 2020. szeptember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3-5.</w:t>
            </w:r>
          </w:p>
          <w:p w:rsidR="000636F1" w:rsidRPr="000636F1" w:rsidRDefault="000636F1" w:rsidP="000636F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6F1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Molnár Anita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, Oláh Dávid, Borbély Szilvia (2019):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Sportszakos hallgatók magyar vonatkozású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>olimpiatörténeti ismereteinek vizsgálata</w:t>
            </w:r>
            <w:r w:rsidRPr="000636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Fiatal Sporttudósok VII. Országos Konferenciája, Budapest, 2019.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36F1">
              <w:rPr>
                <w:rFonts w:eastAsiaTheme="minorHAnsi"/>
                <w:sz w:val="24"/>
                <w:szCs w:val="24"/>
                <w:lang w:eastAsia="en-US"/>
              </w:rPr>
              <w:t>november 30.</w:t>
            </w:r>
          </w:p>
        </w:tc>
      </w:tr>
      <w:tr w:rsidR="00CC0C25" w:rsidRPr="00E1057D" w:rsidTr="00CC43B0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C25" w:rsidRPr="00E1057D" w:rsidRDefault="00CC0C25" w:rsidP="00CC43B0">
            <w:pPr>
              <w:jc w:val="both"/>
              <w:rPr>
                <w:sz w:val="22"/>
                <w:szCs w:val="22"/>
              </w:rPr>
            </w:pPr>
            <w:r w:rsidRPr="00E1057D">
              <w:rPr>
                <w:sz w:val="22"/>
                <w:szCs w:val="22"/>
              </w:rPr>
              <w:t xml:space="preserve">Tudományos / </w:t>
            </w:r>
            <w:r w:rsidRPr="00E1057D">
              <w:rPr>
                <w:sz w:val="22"/>
                <w:szCs w:val="22"/>
                <w:u w:val="single"/>
              </w:rPr>
              <w:t>szakmai közéleti tevékenység</w:t>
            </w:r>
            <w:r w:rsidRPr="00E1057D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CC0C25" w:rsidRPr="00E1057D" w:rsidTr="00DC4508"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0C25" w:rsidRDefault="00CC0C25" w:rsidP="00CC4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Hallgatói tehetség díj – </w:t>
            </w:r>
            <w:r w:rsidR="00EE1EE6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Az év legkreatívabb hallgatója</w:t>
            </w:r>
            <w:r w:rsidR="00EE1EE6">
              <w:rPr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Nyíregyházi Egyetem, 2020</w:t>
            </w:r>
          </w:p>
          <w:p w:rsidR="00CC0C25" w:rsidRPr="00E1057D" w:rsidRDefault="00CC0C25" w:rsidP="00CC4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Sporttudományi Társaság – tag</w:t>
            </w:r>
          </w:p>
        </w:tc>
      </w:tr>
    </w:tbl>
    <w:p w:rsidR="00F33874" w:rsidRDefault="00F33874" w:rsidP="00DC4508">
      <w:bookmarkStart w:id="0" w:name="_GoBack"/>
      <w:bookmarkEnd w:id="0"/>
    </w:p>
    <w:sectPr w:rsidR="00F3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418"/>
    <w:multiLevelType w:val="hybridMultilevel"/>
    <w:tmpl w:val="E7042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402"/>
    <w:multiLevelType w:val="hybridMultilevel"/>
    <w:tmpl w:val="C3900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B0F"/>
    <w:multiLevelType w:val="hybridMultilevel"/>
    <w:tmpl w:val="F44CC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EF5"/>
    <w:multiLevelType w:val="hybridMultilevel"/>
    <w:tmpl w:val="A6A46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1CF4"/>
    <w:multiLevelType w:val="hybridMultilevel"/>
    <w:tmpl w:val="D5E07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3A8C"/>
    <w:multiLevelType w:val="hybridMultilevel"/>
    <w:tmpl w:val="CED68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F1A4D"/>
    <w:multiLevelType w:val="hybridMultilevel"/>
    <w:tmpl w:val="42B8F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25"/>
    <w:rsid w:val="000636F1"/>
    <w:rsid w:val="00CC0C25"/>
    <w:rsid w:val="00DC4508"/>
    <w:rsid w:val="00EE1EE6"/>
    <w:rsid w:val="00F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2579"/>
  <w15:chartTrackingRefBased/>
  <w15:docId w15:val="{F66191A8-7B91-42D7-A9D4-68064549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CC0C25"/>
    <w:rPr>
      <w:i/>
      <w:iCs/>
    </w:rPr>
  </w:style>
  <w:style w:type="paragraph" w:styleId="Listaszerbekezds">
    <w:name w:val="List Paragraph"/>
    <w:basedOn w:val="Norml"/>
    <w:uiPriority w:val="34"/>
    <w:qFormat/>
    <w:rsid w:val="0006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2022-02-05T14:01:00Z</dcterms:created>
  <dcterms:modified xsi:type="dcterms:W3CDTF">2022-02-05T14:37:00Z</dcterms:modified>
</cp:coreProperties>
</file>